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63E" w:rsidRPr="00BD5E90" w:rsidRDefault="004E663E" w:rsidP="004E663E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15 БАЗОВЫЕ НАЛОГОВЫЕ СТАВКИ НА ЗЕМЛИ НАСЕЛЕННЫХ ПУНКТОВ</w:t>
      </w:r>
    </w:p>
    <w:p w:rsidR="004E663E" w:rsidRPr="00BD5E90" w:rsidRDefault="004E663E" w:rsidP="004E663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Базовые налоговые ставки на земли населенных пунктов (за исключением придомовых земельных участков)</w:t>
      </w:r>
      <w:r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Pr="00BD5E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устанавливаются в расчете на один квадратный мет</w:t>
      </w:r>
      <w:bookmarkStart w:id="0" w:name="SUB1001629915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 площади в </w:t>
      </w:r>
      <w:r w:rsidRPr="00BD5E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размерах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указанных в таблице 2.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E663E" w:rsidRPr="00BA276F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Таблица 2 – Базовые налоговые ставки на земли населенных пунктов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689"/>
        <w:gridCol w:w="3509"/>
        <w:gridCol w:w="2793"/>
      </w:tblGrid>
      <w:tr w:rsidR="004E663E" w:rsidRPr="004E663E" w:rsidTr="00372AAA">
        <w:trPr>
          <w:jc w:val="center"/>
        </w:trPr>
        <w:tc>
          <w:tcPr>
            <w:tcW w:w="3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40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населенного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пункта</w:t>
            </w:r>
            <w:proofErr w:type="spellEnd"/>
          </w:p>
        </w:tc>
        <w:tc>
          <w:tcPr>
            <w:tcW w:w="18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Базовые ставки налога на земли населенных пунктов, за исключением земель, занятых жилищным фондом, в том числе строениями и сооружениями при нем (тенге)</w:t>
            </w:r>
          </w:p>
        </w:tc>
        <w:tc>
          <w:tcPr>
            <w:tcW w:w="145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Базовые ставки налога на земли, занятые жилищным фондом, в том числе строениями и сооружениями при нем (тенге)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Алматы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Астана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Актау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Актобе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Атырау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8,20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Караганда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Кызылорда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8,68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Кокшетау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Костанай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6,27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Павлодар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Петропавловск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Талдыкорган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Тараз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Уральск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Усть-Каменогорск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9,65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Шымкент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Остальные города областного значения города</w:t>
            </w:r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85 процентов от ставки, установленной для областного центра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Остальные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районного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75 процентов от ставки, установленной для областного центра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Поселки</w:t>
            </w:r>
            <w:proofErr w:type="spellEnd"/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</w:tr>
      <w:tr w:rsidR="004E663E" w:rsidRPr="00BA276F" w:rsidTr="00372AAA">
        <w:trPr>
          <w:jc w:val="center"/>
        </w:trPr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Села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аулы</w:t>
            </w:r>
            <w:proofErr w:type="spellEnd"/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63E" w:rsidRPr="00BA276F" w:rsidRDefault="004E663E" w:rsidP="00372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7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</w:tr>
    </w:tbl>
    <w:p w:rsidR="004E663E" w:rsidRDefault="004E663E" w:rsidP="004E663E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val="ru-RU" w:eastAsia="ru-RU"/>
        </w:rPr>
      </w:pP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Базовые налоговые ставки на придомовые земельные участки</w:t>
      </w:r>
      <w:r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 xml:space="preserve">. </w:t>
      </w: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Придомовым земельным участком считается часть земельного участка, относящегося к землям населенных пунктов, предназначенная для обслуживания жилого дома (жилого здания) и не занятая жилым домом (жилым зданием), в том числе строениями и сооружениями при нем.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Придомовые земельные участки подлежат налогообложению по следующим базовым налоговым ставкам:</w:t>
      </w:r>
      <w:bookmarkStart w:id="1" w:name="SUB3820001"/>
      <w:bookmarkStart w:id="2" w:name="SUB1002707402"/>
      <w:bookmarkStart w:id="3" w:name="SUB1002716902"/>
      <w:bookmarkEnd w:id="1"/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1) для городов Астаны, Алматы и городов областного значения: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при площади до 1000 квадратных метров включительно - 0,20 тенге за 1 квадратный метр;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на площадь, превышающую 1000 квадратных метров, - 6,00 тенге за 1 квадратный метр.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По решению местных представительных органов ставки налога на земельные участки, превышающие 1000 квадратных метров, могут быть снижены с 6,00 до 0,20 тенге за 1 квадратный метр;</w:t>
      </w:r>
      <w:bookmarkStart w:id="4" w:name="SUB3820002"/>
      <w:bookmarkEnd w:id="2"/>
      <w:bookmarkEnd w:id="3"/>
      <w:bookmarkEnd w:id="4"/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2) для остальных населенных пунктов: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при площади до 5000 квадратных метров включительно - 0,20 тенге за 1 квадратный метр;</w:t>
      </w:r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на площадь, превышающую 5000 квадратных метров, - 1,00 тенге за 1 квадратный метр.</w:t>
      </w:r>
    </w:p>
    <w:p w:rsidR="004E663E" w:rsidRPr="00BA276F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/>
          <w:i/>
          <w:sz w:val="28"/>
          <w:szCs w:val="28"/>
          <w:lang w:val="ru-RU" w:eastAsia="ru-RU"/>
        </w:rPr>
      </w:pPr>
      <w:r w:rsidRPr="00BA276F">
        <w:rPr>
          <w:rFonts w:ascii="Times New Roman" w:eastAsia="Times New Roman" w:hAnsi="Times New Roman"/>
          <w:sz w:val="28"/>
          <w:szCs w:val="28"/>
          <w:lang w:val="ru-RU" w:eastAsia="ru-RU"/>
        </w:rPr>
        <w:t>По решению местных представительных органов ставки налогов на земельные участки, превышающие 5000 квадратных метров, могут быть снижены с 1,00 тенге до 0,20 тенге за 1 квадратный метр.</w:t>
      </w:r>
    </w:p>
    <w:p w:rsidR="004E663E" w:rsidRPr="007C4AF6" w:rsidRDefault="004E663E" w:rsidP="004E663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bookmarkStart w:id="5" w:name="SUB3830000"/>
      <w:bookmarkStart w:id="6" w:name="SUB3830200"/>
      <w:bookmarkEnd w:id="5"/>
      <w:bookmarkEnd w:id="6"/>
    </w:p>
    <w:p w:rsidR="004E663E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bookmarkStart w:id="7" w:name="SUB3860000"/>
      <w:bookmarkStart w:id="8" w:name="SUB1001498772"/>
      <w:bookmarkStart w:id="9" w:name="SUB1001500372"/>
      <w:bookmarkEnd w:id="7"/>
      <w:r w:rsidRPr="007C4AF6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Налоговые ставки на земельные участки, выделенные под автостоянки (паркинги), автозаправочные станции, занятые под казино</w:t>
      </w:r>
      <w:bookmarkEnd w:id="8"/>
      <w:r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.</w:t>
      </w:r>
    </w:p>
    <w:p w:rsidR="004E663E" w:rsidRPr="007C4AF6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Земли населенных пунктов, выделенные под автозаправочные станции,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под казино, </w: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подлежат налогообложению по базовым ставкам на земли населенных пунктов, установленным в графе 3 таблицы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2</w: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увеличенным в десять раз.</w:t>
      </w:r>
    </w:p>
    <w:bookmarkEnd w:id="9"/>
    <w:p w:rsidR="004E663E" w:rsidRPr="007C4AF6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Земли населенных пунктов, выделенные под автостоянки (паркинги), подлежат налогообложению по базовым ставкам на земли населенных пунктов, установленным в графе 3 таблицы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2</w: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E663E" w:rsidRPr="007C4AF6" w:rsidRDefault="004E663E" w:rsidP="004E66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 решению местного представительного органа </w:t>
      </w:r>
      <w:bookmarkStart w:id="10" w:name="SUB1002644866"/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 xml:space="preserve"> 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HYPERLINK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 xml:space="preserve"> "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http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://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online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.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zakon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.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kz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/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Document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/?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link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_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id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>=1002644866" \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t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 xml:space="preserve"> "_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>parent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instrText xml:space="preserve">" </w:instrTex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базовые ставки</w:t>
      </w:r>
      <w:r w:rsidRPr="007C4AF6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bookmarkEnd w:id="10"/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налога на земли, выделенные под автостоянки (паркинги), могут быть увеличены, но не более чем в десять раз. Увеличение ставок, предусмотренное настоящим пунктом, производится в зависимости от категории автостоянок (паркингов), устанавливаемых ме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стным представительным органом. </w:t>
      </w:r>
      <w:r w:rsidRPr="007C4A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этом запрещается повышение ставок земельного налога индивидуально для отдельных налогоплательщиков.</w:t>
      </w:r>
      <w:bookmarkStart w:id="11" w:name="SUB1001922190"/>
    </w:p>
    <w:p w:rsidR="00536241" w:rsidRPr="004E663E" w:rsidRDefault="004E663E" w:rsidP="004E663E">
      <w:pPr>
        <w:rPr>
          <w:lang w:val="ru-RU"/>
        </w:rPr>
      </w:pPr>
      <w:bookmarkStart w:id="12" w:name="_GoBack"/>
      <w:bookmarkEnd w:id="0"/>
      <w:bookmarkEnd w:id="11"/>
      <w:bookmarkEnd w:id="12"/>
    </w:p>
    <w:sectPr w:rsidR="00536241" w:rsidRPr="004E6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6D"/>
    <w:rsid w:val="00303F8C"/>
    <w:rsid w:val="004E663E"/>
    <w:rsid w:val="00805B6D"/>
    <w:rsid w:val="00E637C0"/>
    <w:rsid w:val="00F2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7A3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7A3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2016-02-18T08:27:00Z</dcterms:created>
  <dcterms:modified xsi:type="dcterms:W3CDTF">2016-02-18T08:34:00Z</dcterms:modified>
</cp:coreProperties>
</file>